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48249D" w:rsidRPr="0048249D" w14:paraId="42EDDCBA" w14:textId="77777777" w:rsidTr="0048249D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50534D97" w14:textId="77777777" w:rsidR="000752A4" w:rsidRPr="0048249D" w:rsidRDefault="000752A4" w:rsidP="0048249D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26D48B39" w14:textId="77777777" w:rsidR="000752A4" w:rsidRPr="0048249D" w:rsidRDefault="000752A4" w:rsidP="000752A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Uzaktan Eğitim Uygulama ve Araştırma Merkezi Müdürlüğü</w:t>
            </w:r>
          </w:p>
        </w:tc>
      </w:tr>
      <w:tr w:rsidR="0048249D" w:rsidRPr="0048249D" w14:paraId="6EDB8AE1" w14:textId="77777777" w:rsidTr="0048249D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3A39AF4D" w14:textId="77777777" w:rsidR="000752A4" w:rsidRPr="0048249D" w:rsidRDefault="000752A4" w:rsidP="0048249D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5206EDBF" w14:textId="77777777" w:rsidR="000752A4" w:rsidRPr="0048249D" w:rsidRDefault="000752A4" w:rsidP="000752A4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Akademik Personel</w:t>
            </w:r>
          </w:p>
        </w:tc>
      </w:tr>
      <w:tr w:rsidR="0048249D" w:rsidRPr="0048249D" w14:paraId="054BB2F1" w14:textId="77777777" w:rsidTr="0048249D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776BD96A" w14:textId="77777777" w:rsidR="000752A4" w:rsidRPr="0048249D" w:rsidRDefault="000752A4" w:rsidP="0048249D">
            <w:pPr>
              <w:spacing w:line="239" w:lineRule="exact"/>
              <w:ind w:right="93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7F80A520" w14:textId="77777777" w:rsidR="000752A4" w:rsidRPr="0048249D" w:rsidRDefault="000752A4" w:rsidP="000752A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Müdür Yardımcısı</w:t>
            </w:r>
          </w:p>
        </w:tc>
      </w:tr>
      <w:tr w:rsidR="0048249D" w:rsidRPr="0048249D" w14:paraId="69D69ADD" w14:textId="77777777" w:rsidTr="0048249D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441C73D5" w14:textId="77777777" w:rsidR="000752A4" w:rsidRPr="0048249D" w:rsidRDefault="000752A4" w:rsidP="0048249D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129499A2" w14:textId="77777777" w:rsidR="000752A4" w:rsidRPr="0048249D" w:rsidRDefault="000752A4" w:rsidP="000752A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Görevlendirilen Personel</w:t>
            </w:r>
          </w:p>
        </w:tc>
      </w:tr>
    </w:tbl>
    <w:p w14:paraId="69000745" w14:textId="77777777" w:rsidR="000752A4" w:rsidRPr="0048249D" w:rsidRDefault="000752A4" w:rsidP="000752A4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8249D" w:rsidRPr="0048249D" w14:paraId="157BE778" w14:textId="77777777" w:rsidTr="0048249D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4123CCFD" w14:textId="77777777" w:rsidR="000752A4" w:rsidRPr="0048249D" w:rsidRDefault="000752A4" w:rsidP="000752A4">
            <w:pPr>
              <w:spacing w:line="239" w:lineRule="exact"/>
              <w:ind w:left="3275" w:right="3260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0752A4" w:rsidRPr="0048249D" w14:paraId="217E2039" w14:textId="77777777" w:rsidTr="000752A4">
        <w:trPr>
          <w:trHeight w:val="1547"/>
          <w:jc w:val="center"/>
        </w:trPr>
        <w:tc>
          <w:tcPr>
            <w:tcW w:w="9636" w:type="dxa"/>
          </w:tcPr>
          <w:p w14:paraId="4D6BAD1A" w14:textId="77777777" w:rsidR="000752A4" w:rsidRPr="0048249D" w:rsidRDefault="000752A4" w:rsidP="000752A4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36DC955D" w14:textId="77777777" w:rsidR="000752A4" w:rsidRPr="0048249D" w:rsidRDefault="000752A4" w:rsidP="000752A4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 xml:space="preserve">Kayseri Üniversitesi üst yönetimi tarafından belirlenen amaç ve ilkelere uygun olarak; birimin tüm faaliyetleri ile ilgili, etkenlik ve verimlilik ilkelerine uygun olarak yürütülmesi amacıyla çalışmalar yapmak. </w:t>
            </w:r>
          </w:p>
          <w:p w14:paraId="475ADF3C" w14:textId="77777777" w:rsidR="000752A4" w:rsidRPr="0048249D" w:rsidRDefault="000752A4" w:rsidP="000752A4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 xml:space="preserve">Yönetim Kurulu’nun aldığı kararları ve hazırladığı çalışma programını uygulamak. </w:t>
            </w:r>
          </w:p>
          <w:p w14:paraId="0432E175" w14:textId="77777777" w:rsidR="000752A4" w:rsidRPr="0048249D" w:rsidRDefault="000752A4" w:rsidP="000752A4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 xml:space="preserve">Merkez bünyesinde hazırlanan projeleri Merkez’in amaçları doğrultusunda yönetmek. </w:t>
            </w:r>
          </w:p>
          <w:p w14:paraId="2F00051F" w14:textId="77777777" w:rsidR="000752A4" w:rsidRPr="0048249D" w:rsidRDefault="000752A4" w:rsidP="000752A4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 xml:space="preserve">Ön lisans, lisans ve lisansüstü eğitimde e-öğrenme temelli ders ve program açmak, geliştirmek ve üniversitede verilmekte olan dersleri e- </w:t>
            </w:r>
            <w:proofErr w:type="spellStart"/>
            <w:r w:rsidRPr="0048249D">
              <w:rPr>
                <w:rFonts w:eastAsia="Caladea"/>
                <w:sz w:val="22"/>
                <w:szCs w:val="22"/>
                <w:lang w:val="tr-TR"/>
              </w:rPr>
              <w:t>öğrenme</w:t>
            </w:r>
            <w:proofErr w:type="spellEnd"/>
            <w:r w:rsidRPr="0048249D">
              <w:rPr>
                <w:rFonts w:eastAsia="Caladea"/>
                <w:sz w:val="22"/>
                <w:szCs w:val="22"/>
                <w:lang w:val="tr-TR"/>
              </w:rPr>
              <w:t xml:space="preserve"> ile desteklemek. </w:t>
            </w:r>
          </w:p>
          <w:p w14:paraId="2ED131E8" w14:textId="77777777" w:rsidR="000752A4" w:rsidRPr="0048249D" w:rsidRDefault="000752A4" w:rsidP="000752A4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 xml:space="preserve">Teknolojinin sağladığı çoklu ve etkileşimli ortam imkânları ile </w:t>
            </w:r>
            <w:proofErr w:type="spellStart"/>
            <w:r w:rsidRPr="0048249D">
              <w:rPr>
                <w:rFonts w:eastAsia="Caladea"/>
                <w:sz w:val="22"/>
                <w:szCs w:val="22"/>
                <w:lang w:val="tr-TR"/>
              </w:rPr>
              <w:t>eğitim</w:t>
            </w:r>
            <w:proofErr w:type="spellEnd"/>
            <w:r w:rsidRPr="0048249D">
              <w:rPr>
                <w:rFonts w:eastAsia="Caladea"/>
                <w:sz w:val="22"/>
                <w:szCs w:val="22"/>
                <w:lang w:val="tr-TR"/>
              </w:rPr>
              <w:t xml:space="preserve"> -</w:t>
            </w:r>
            <w:proofErr w:type="spellStart"/>
            <w:r w:rsidRPr="0048249D">
              <w:rPr>
                <w:rFonts w:eastAsia="Caladea"/>
                <w:sz w:val="22"/>
                <w:szCs w:val="22"/>
                <w:lang w:val="tr-TR"/>
              </w:rPr>
              <w:t>öğretimin</w:t>
            </w:r>
            <w:proofErr w:type="spellEnd"/>
            <w:r w:rsidRPr="0048249D">
              <w:rPr>
                <w:rFonts w:eastAsia="Caladea"/>
                <w:sz w:val="22"/>
                <w:szCs w:val="22"/>
                <w:lang w:val="tr-TR"/>
              </w:rPr>
              <w:t xml:space="preserve"> başarısını arttırmak</w:t>
            </w:r>
          </w:p>
          <w:p w14:paraId="2A745B3D" w14:textId="77777777" w:rsidR="000752A4" w:rsidRPr="0048249D" w:rsidRDefault="000752A4" w:rsidP="000752A4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Yönetimi altındaki birimleri Merkezin amaçları doğrultusunda yönetmek,</w:t>
            </w:r>
          </w:p>
          <w:p w14:paraId="4CDCF15A" w14:textId="77777777" w:rsidR="000752A4" w:rsidRPr="0048249D" w:rsidRDefault="000752A4" w:rsidP="000752A4">
            <w:pPr>
              <w:numPr>
                <w:ilvl w:val="0"/>
                <w:numId w:val="5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Merkeze bağlı uzaktan eğitim programlarında görevlendirilen akademik ve idari personelin koordinesini yapmak,</w:t>
            </w:r>
          </w:p>
          <w:p w14:paraId="5323DA64" w14:textId="77777777" w:rsidR="000752A4" w:rsidRPr="0048249D" w:rsidRDefault="000752A4" w:rsidP="000752A4">
            <w:pPr>
              <w:ind w:left="132" w:right="92"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7EA6E1C7" w14:textId="77777777" w:rsidR="000752A4" w:rsidRPr="0048249D" w:rsidRDefault="000752A4" w:rsidP="000752A4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8249D" w:rsidRPr="0048249D" w14:paraId="56268DAD" w14:textId="77777777" w:rsidTr="0048249D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63307C89" w14:textId="77777777" w:rsidR="000752A4" w:rsidRPr="0048249D" w:rsidRDefault="000752A4" w:rsidP="000752A4">
            <w:pPr>
              <w:spacing w:before="2" w:line="237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0752A4" w:rsidRPr="0048249D" w14:paraId="752F649D" w14:textId="77777777" w:rsidTr="000752A4">
        <w:trPr>
          <w:trHeight w:val="6061"/>
          <w:jc w:val="center"/>
        </w:trPr>
        <w:tc>
          <w:tcPr>
            <w:tcW w:w="9636" w:type="dxa"/>
          </w:tcPr>
          <w:p w14:paraId="201613FF" w14:textId="77777777" w:rsidR="000752A4" w:rsidRPr="0048249D" w:rsidRDefault="000752A4" w:rsidP="000752A4">
            <w:pPr>
              <w:spacing w:before="1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0A09D191" w14:textId="77777777" w:rsidR="000752A4" w:rsidRPr="0048249D" w:rsidRDefault="000752A4" w:rsidP="000752A4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Gelecek yıllarda KAYUZEM’ in geliştirilmesine yönelik planlama yapma</w:t>
            </w:r>
          </w:p>
          <w:p w14:paraId="35B9566F" w14:textId="77777777" w:rsidR="000752A4" w:rsidRPr="0048249D" w:rsidRDefault="000752A4" w:rsidP="000752A4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Yükseköğretim kanunundaki amaç ve ilkelere uygun biçimde ön lisans, lisans düzeyinde eğitim-öğretim ve uygulamalı çalışmalar yapmak ve yaptırmak, proje hazırlıklarını ve seminerleri yönetmek,</w:t>
            </w:r>
          </w:p>
          <w:p w14:paraId="2235A0FD" w14:textId="77777777" w:rsidR="000752A4" w:rsidRPr="0048249D" w:rsidRDefault="000752A4" w:rsidP="000752A4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Yükseköğretim kurumlarında, bilimsel araştırmalar ve yayımlar yapmak,</w:t>
            </w:r>
          </w:p>
          <w:p w14:paraId="575FBE96" w14:textId="037D08DC" w:rsidR="000752A4" w:rsidRPr="000B4C66" w:rsidRDefault="000752A4" w:rsidP="000B021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0B4C66">
              <w:rPr>
                <w:rFonts w:eastAsia="Caladea"/>
                <w:sz w:val="22"/>
                <w:szCs w:val="22"/>
                <w:lang w:val="tr-TR"/>
              </w:rPr>
              <w:t xml:space="preserve">KAYUZEM tarafından düzenlenecek programa göre belirli günlerde yüz yüze veya </w:t>
            </w:r>
            <w:proofErr w:type="gramStart"/>
            <w:r w:rsidRPr="000B4C66">
              <w:rPr>
                <w:rFonts w:eastAsia="Caladea"/>
                <w:sz w:val="22"/>
                <w:szCs w:val="22"/>
                <w:lang w:val="tr-TR"/>
              </w:rPr>
              <w:t>online</w:t>
            </w:r>
            <w:proofErr w:type="gramEnd"/>
            <w:r w:rsidRPr="000B4C66">
              <w:rPr>
                <w:rFonts w:eastAsia="Caladea"/>
                <w:sz w:val="22"/>
                <w:szCs w:val="22"/>
                <w:lang w:val="tr-TR"/>
              </w:rPr>
              <w:t xml:space="preserve"> olarak öğrencileri kabul ederek onlara gerekli konularda yardım etmek, kanundaki amaç ve ana ilkeler doğrultusunda yol göstermek, rehberlik ve danışmanlık etmek,</w:t>
            </w:r>
            <w:r w:rsidR="000B4C66">
              <w:rPr>
                <w:rFonts w:eastAsia="Caladea"/>
                <w:sz w:val="22"/>
                <w:szCs w:val="22"/>
                <w:lang w:val="tr-TR"/>
              </w:rPr>
              <w:t xml:space="preserve"> </w:t>
            </w:r>
            <w:r w:rsidRPr="000B4C66">
              <w:rPr>
                <w:rFonts w:eastAsia="Caladea"/>
                <w:sz w:val="22"/>
                <w:szCs w:val="22"/>
                <w:lang w:val="tr-TR"/>
              </w:rPr>
              <w:t>ihtiyaç duyulan dersleri vermek,</w:t>
            </w:r>
          </w:p>
          <w:p w14:paraId="0F1F6A5F" w14:textId="77777777" w:rsidR="000752A4" w:rsidRPr="0048249D" w:rsidRDefault="000752A4" w:rsidP="000752A4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Yetkili organlarca verilecek görevleri yerine getirmek.</w:t>
            </w:r>
          </w:p>
          <w:p w14:paraId="434064E0" w14:textId="77777777" w:rsidR="000752A4" w:rsidRPr="0048249D" w:rsidRDefault="000752A4" w:rsidP="000752A4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Birim kalite komisyonuna katılarak, KAYUZEM’ in gelişmesine katkı sağlamak.</w:t>
            </w:r>
          </w:p>
          <w:p w14:paraId="186ABF37" w14:textId="77777777" w:rsidR="000752A4" w:rsidRPr="0048249D" w:rsidRDefault="000752A4" w:rsidP="000752A4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Kanun ve yönetmeliklerle kendisine verilen diğer görevleri yapmak,</w:t>
            </w:r>
          </w:p>
          <w:p w14:paraId="523672A7" w14:textId="77777777" w:rsidR="000752A4" w:rsidRPr="0048249D" w:rsidRDefault="000752A4" w:rsidP="000752A4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Görevi ile ilgili süreçleri Üniversitemiz Kalite Politikası ve Kalite Yönetim Sistemi</w:t>
            </w:r>
          </w:p>
          <w:p w14:paraId="0DD94A10" w14:textId="77777777" w:rsidR="000752A4" w:rsidRPr="0048249D" w:rsidRDefault="000752A4" w:rsidP="000B4C66">
            <w:pPr>
              <w:ind w:left="830"/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proofErr w:type="gramStart"/>
            <w:r w:rsidRPr="0048249D">
              <w:rPr>
                <w:rFonts w:eastAsia="Caladea"/>
                <w:sz w:val="22"/>
                <w:szCs w:val="22"/>
                <w:lang w:val="tr-TR"/>
              </w:rPr>
              <w:t>çerçevesinde</w:t>
            </w:r>
            <w:proofErr w:type="gramEnd"/>
            <w:r w:rsidRPr="0048249D">
              <w:rPr>
                <w:rFonts w:eastAsia="Caladea"/>
                <w:sz w:val="22"/>
                <w:szCs w:val="22"/>
                <w:lang w:val="tr-TR"/>
              </w:rPr>
              <w:t>, kalite hedefleri ve prosedürlerine uygun olarak yürütmek.</w:t>
            </w:r>
          </w:p>
          <w:p w14:paraId="63FAEFAC" w14:textId="77777777" w:rsidR="000752A4" w:rsidRPr="0048249D" w:rsidRDefault="000752A4" w:rsidP="000752A4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Bağlı bulunduğu yönetici veya üst yöneticilerin, görev alanı ile ilgili vereceği diğer işleri iş</w:t>
            </w:r>
          </w:p>
          <w:p w14:paraId="2CC98B9A" w14:textId="77777777" w:rsidR="000752A4" w:rsidRPr="0048249D" w:rsidRDefault="000752A4" w:rsidP="000B4C66">
            <w:pPr>
              <w:ind w:left="830"/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proofErr w:type="gramStart"/>
            <w:r w:rsidRPr="0048249D">
              <w:rPr>
                <w:rFonts w:eastAsia="Caladea"/>
                <w:sz w:val="22"/>
                <w:szCs w:val="22"/>
                <w:lang w:val="tr-TR"/>
              </w:rPr>
              <w:t>sağlığı</w:t>
            </w:r>
            <w:proofErr w:type="gramEnd"/>
            <w:r w:rsidRPr="0048249D">
              <w:rPr>
                <w:rFonts w:eastAsia="Caladea"/>
                <w:sz w:val="22"/>
                <w:szCs w:val="22"/>
                <w:lang w:val="tr-TR"/>
              </w:rPr>
              <w:t xml:space="preserve"> ve güvenliği kurallarına uygun olarak yapmak,</w:t>
            </w:r>
          </w:p>
          <w:p w14:paraId="4AFD5EEC" w14:textId="77777777" w:rsidR="000752A4" w:rsidRPr="0048249D" w:rsidRDefault="000752A4" w:rsidP="000752A4">
            <w:pPr>
              <w:numPr>
                <w:ilvl w:val="0"/>
                <w:numId w:val="4"/>
              </w:numPr>
              <w:tabs>
                <w:tab w:val="left" w:pos="831"/>
              </w:tabs>
              <w:ind w:right="91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8249D">
              <w:rPr>
                <w:rFonts w:eastAsia="Caladea"/>
                <w:sz w:val="22"/>
                <w:szCs w:val="22"/>
                <w:lang w:val="tr-TR"/>
              </w:rPr>
              <w:t>Akademik personel, yukarıda yazılı olan bütün bu görevleri kanunlara ve yönetmeliklere uygun olarak yerine getirirken KAYUZEM idarecilerine karşı sorumludur.</w:t>
            </w:r>
          </w:p>
        </w:tc>
      </w:tr>
    </w:tbl>
    <w:p w14:paraId="3633D5EB" w14:textId="77777777" w:rsidR="00175412" w:rsidRPr="0048249D" w:rsidRDefault="00175412" w:rsidP="00175412">
      <w:pPr>
        <w:rPr>
          <w:sz w:val="22"/>
          <w:szCs w:val="22"/>
          <w:lang w:val="tr-TR" w:eastAsia="tr-TR"/>
        </w:rPr>
      </w:pPr>
    </w:p>
    <w:p w14:paraId="7F8D56A3" w14:textId="13A2EC3E" w:rsidR="00B46380" w:rsidRPr="0048249D" w:rsidRDefault="00175412" w:rsidP="00B46380">
      <w:pPr>
        <w:rPr>
          <w:sz w:val="22"/>
          <w:szCs w:val="22"/>
        </w:rPr>
      </w:pPr>
      <w:r w:rsidRPr="0048249D">
        <w:rPr>
          <w:sz w:val="24"/>
          <w:szCs w:val="24"/>
          <w:lang w:val="tr-TR" w:eastAsia="tr-TR"/>
        </w:rPr>
        <w:br/>
      </w:r>
      <w:bookmarkStart w:id="0" w:name="_GoBack"/>
      <w:bookmarkEnd w:id="0"/>
      <w:r w:rsidRPr="0048249D">
        <w:rPr>
          <w:rFonts w:ascii="Cambria" w:hAnsi="Cambria"/>
          <w:b/>
          <w:bCs/>
          <w:sz w:val="22"/>
          <w:szCs w:val="22"/>
          <w:lang w:val="tr-TR" w:eastAsia="tr-TR"/>
        </w:rPr>
        <w:br/>
      </w:r>
      <w:r w:rsidR="00B46380" w:rsidRPr="0048249D">
        <w:rPr>
          <w:sz w:val="22"/>
          <w:szCs w:val="22"/>
        </w:rPr>
        <w:tab/>
      </w:r>
      <w:r w:rsidR="00B46380" w:rsidRPr="0048249D">
        <w:rPr>
          <w:sz w:val="22"/>
          <w:szCs w:val="22"/>
        </w:rPr>
        <w:tab/>
      </w:r>
      <w:r w:rsidR="00B46380" w:rsidRPr="0048249D">
        <w:rPr>
          <w:sz w:val="22"/>
          <w:szCs w:val="22"/>
        </w:rPr>
        <w:tab/>
      </w:r>
      <w:r w:rsidR="00B46380" w:rsidRPr="0048249D">
        <w:rPr>
          <w:sz w:val="22"/>
          <w:szCs w:val="22"/>
        </w:rPr>
        <w:tab/>
      </w:r>
      <w:r w:rsidR="00B46380" w:rsidRPr="0048249D">
        <w:rPr>
          <w:sz w:val="22"/>
          <w:szCs w:val="22"/>
        </w:rPr>
        <w:tab/>
      </w:r>
      <w:r w:rsidR="00B46380" w:rsidRPr="0048249D">
        <w:rPr>
          <w:sz w:val="22"/>
          <w:szCs w:val="22"/>
        </w:rPr>
        <w:tab/>
      </w:r>
      <w:r w:rsidR="00B46380" w:rsidRPr="0048249D">
        <w:rPr>
          <w:sz w:val="22"/>
          <w:szCs w:val="22"/>
        </w:rPr>
        <w:tab/>
      </w:r>
      <w:r w:rsidR="00B46380" w:rsidRPr="0048249D">
        <w:rPr>
          <w:sz w:val="22"/>
          <w:szCs w:val="22"/>
        </w:rPr>
        <w:tab/>
      </w:r>
    </w:p>
    <w:p w14:paraId="6C41B59B" w14:textId="77777777" w:rsidR="00B46380" w:rsidRPr="0048249D" w:rsidRDefault="00B46380" w:rsidP="00B46380">
      <w:pPr>
        <w:rPr>
          <w:sz w:val="22"/>
          <w:szCs w:val="22"/>
        </w:rPr>
      </w:pP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</w:p>
    <w:p w14:paraId="2FE0E808" w14:textId="77777777" w:rsidR="00B46380" w:rsidRPr="0048249D" w:rsidRDefault="00B46380" w:rsidP="00B46380">
      <w:pPr>
        <w:rPr>
          <w:sz w:val="22"/>
          <w:szCs w:val="22"/>
        </w:rPr>
      </w:pP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  <w:r w:rsidRPr="0048249D">
        <w:rPr>
          <w:sz w:val="22"/>
          <w:szCs w:val="22"/>
        </w:rPr>
        <w:tab/>
      </w:r>
    </w:p>
    <w:p w14:paraId="623243F6" w14:textId="77777777" w:rsidR="00063071" w:rsidRPr="0048249D" w:rsidRDefault="00063071" w:rsidP="00AE7B0D"/>
    <w:sectPr w:rsidR="00063071" w:rsidRPr="0048249D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F608" w14:textId="77777777" w:rsidR="00E03FCB" w:rsidRDefault="00E03FCB" w:rsidP="00FF08A6">
      <w:r>
        <w:separator/>
      </w:r>
    </w:p>
  </w:endnote>
  <w:endnote w:type="continuationSeparator" w:id="0">
    <w:p w14:paraId="78660293" w14:textId="77777777" w:rsidR="00E03FCB" w:rsidRDefault="00E03FCB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8FD222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6F6CD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Hazırlayan</w:t>
          </w:r>
          <w:proofErr w:type="spellEnd"/>
        </w:p>
        <w:p w14:paraId="75480D10" w14:textId="323E683D" w:rsidR="00151ABA" w:rsidRPr="00607331" w:rsidRDefault="000B4C6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KAYUZEM</w:t>
          </w:r>
        </w:p>
        <w:p w14:paraId="682A0F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30AA489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FAF593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Onaylayan</w:t>
          </w:r>
          <w:proofErr w:type="spellEnd"/>
        </w:p>
        <w:p w14:paraId="54FD7734" w14:textId="550A0F17" w:rsidR="00D17E25" w:rsidRPr="00607331" w:rsidRDefault="000B4C6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KAYUZEM</w:t>
          </w:r>
        </w:p>
        <w:p w14:paraId="1AD2EDE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12147309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E2FF9" w14:textId="77777777" w:rsidR="00E03FCB" w:rsidRDefault="00E03FCB" w:rsidP="00FF08A6">
      <w:r>
        <w:separator/>
      </w:r>
    </w:p>
  </w:footnote>
  <w:footnote w:type="continuationSeparator" w:id="0">
    <w:p w14:paraId="62E7D025" w14:textId="77777777" w:rsidR="00E03FCB" w:rsidRDefault="00E03FCB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AD1CDF" w:rsidRPr="00AD1CDF" w14:paraId="0AF2F4D3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50777A7" w14:textId="77777777" w:rsidR="00FF08A6" w:rsidRPr="00AD1CDF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AD1CDF">
            <w:rPr>
              <w:rFonts w:eastAsia="Cambria"/>
              <w:sz w:val="22"/>
              <w:szCs w:val="22"/>
            </w:rPr>
            <w:object w:dxaOrig="6637" w:dyaOrig="5688" w14:anchorId="017B90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5465" r:id="rId2"/>
            </w:object>
          </w:r>
          <w:r w:rsidR="00A4726D" w:rsidRPr="00AD1CDF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58847614" w14:textId="77777777" w:rsidR="00885384" w:rsidRPr="00AD1CDF" w:rsidRDefault="00885384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AD1CDF" w:rsidRPr="00AD1CDF" w14:paraId="48849900" w14:textId="77777777" w:rsidTr="00885384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A860FD1" w14:textId="628D2315" w:rsidR="00175412" w:rsidRPr="00AD1CDF" w:rsidRDefault="000752A4" w:rsidP="0017541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AD1CDF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UZAKTAN EĞİTİM UYGULAMA VE ARAŞTIRMA MERKEZ</w:t>
                </w:r>
                <w:r w:rsidR="00885384" w:rsidRPr="00AD1CDF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İ</w:t>
                </w:r>
                <w:r w:rsidRPr="00AD1CDF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 AKADEMİK PERSONEL </w:t>
                </w:r>
                <w:r w:rsidR="00175412" w:rsidRPr="00AD1CDF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GÖREV TANIM</w:t>
                </w:r>
                <w:r w:rsidR="00885384" w:rsidRPr="00AD1CDF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I</w:t>
                </w:r>
              </w:p>
              <w:p w14:paraId="6419B012" w14:textId="77777777" w:rsidR="005F50D6" w:rsidRPr="00AD1CDF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AD1CDF" w:rsidRPr="00AD1CDF" w14:paraId="541ED444" w14:textId="77777777" w:rsidTr="00885384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21EE7583" w14:textId="77777777" w:rsidR="005F50D6" w:rsidRPr="00AD1CDF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AD1CDF" w:rsidRPr="00AD1CDF" w14:paraId="5B2A3FD8" w14:textId="77777777" w:rsidTr="00885384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3DC21EF4" w14:textId="77777777" w:rsidR="005F50D6" w:rsidRPr="00AD1CDF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AD1CDF" w:rsidRPr="00AD1CDF" w14:paraId="792DB8B8" w14:textId="77777777" w:rsidTr="00885384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EE02D10" w14:textId="77777777" w:rsidR="005F50D6" w:rsidRPr="00AD1CDF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AD1CDF" w:rsidRPr="00AD1CDF" w14:paraId="29A99C25" w14:textId="77777777" w:rsidTr="00885384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6A145910" w14:textId="77777777" w:rsidR="005F50D6" w:rsidRPr="00AD1CDF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6AD80F68" w14:textId="77777777" w:rsidR="00AE7B0D" w:rsidRPr="00AD1CDF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7DD3EC0F" w14:textId="77777777" w:rsidR="00AE7B0D" w:rsidRPr="00AD1CD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613EF37" w14:textId="77777777" w:rsidR="00AE7B0D" w:rsidRPr="00AD1CD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5CCDCE3" w14:textId="77777777" w:rsidR="00AE7B0D" w:rsidRPr="00AD1CD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F42A405" w14:textId="77777777" w:rsidR="00AE7B0D" w:rsidRPr="00AD1CD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A9B0618" w14:textId="77777777" w:rsidR="00FF08A6" w:rsidRPr="00AD1CDF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8459BFE" w14:textId="77777777" w:rsidR="00FF08A6" w:rsidRPr="00AD1CDF" w:rsidRDefault="00FF08A6" w:rsidP="00FF08A6">
          <w:pPr>
            <w:rPr>
              <w:sz w:val="22"/>
              <w:szCs w:val="22"/>
            </w:rPr>
          </w:pPr>
          <w:proofErr w:type="spellStart"/>
          <w:r w:rsidRPr="00AD1CDF">
            <w:rPr>
              <w:sz w:val="22"/>
              <w:szCs w:val="22"/>
            </w:rPr>
            <w:t>Doküman</w:t>
          </w:r>
          <w:proofErr w:type="spellEnd"/>
          <w:r w:rsidRPr="00AD1CDF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717E0782" w14:textId="145BE23A" w:rsidR="00FF08A6" w:rsidRPr="00AD1CDF" w:rsidRDefault="00885384" w:rsidP="00FF08A6">
          <w:pPr>
            <w:rPr>
              <w:sz w:val="22"/>
              <w:szCs w:val="22"/>
            </w:rPr>
          </w:pPr>
          <w:r w:rsidRPr="00AD1CDF">
            <w:rPr>
              <w:sz w:val="22"/>
              <w:szCs w:val="22"/>
            </w:rPr>
            <w:t>GT-090</w:t>
          </w:r>
        </w:p>
      </w:tc>
    </w:tr>
    <w:tr w:rsidR="00AD1CDF" w:rsidRPr="00AD1CDF" w14:paraId="4FF645D4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5A6FA07" w14:textId="77777777" w:rsidR="00FF08A6" w:rsidRPr="00AD1CD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1D29AF0" w14:textId="77777777" w:rsidR="00FF08A6" w:rsidRPr="00AD1CD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78EAC19" w14:textId="77777777" w:rsidR="00FF08A6" w:rsidRPr="00AD1CDF" w:rsidRDefault="00FF08A6" w:rsidP="00FF08A6">
          <w:pPr>
            <w:rPr>
              <w:sz w:val="22"/>
              <w:szCs w:val="22"/>
            </w:rPr>
          </w:pPr>
          <w:r w:rsidRPr="00AD1CDF">
            <w:rPr>
              <w:sz w:val="22"/>
              <w:szCs w:val="22"/>
            </w:rPr>
            <w:t xml:space="preserve">İlk </w:t>
          </w:r>
          <w:proofErr w:type="spellStart"/>
          <w:r w:rsidRPr="00AD1CDF">
            <w:rPr>
              <w:sz w:val="22"/>
              <w:szCs w:val="22"/>
            </w:rPr>
            <w:t>Yayın</w:t>
          </w:r>
          <w:proofErr w:type="spellEnd"/>
          <w:r w:rsidRPr="00AD1CDF">
            <w:rPr>
              <w:sz w:val="22"/>
              <w:szCs w:val="22"/>
            </w:rPr>
            <w:t xml:space="preserve"> </w:t>
          </w:r>
          <w:proofErr w:type="spellStart"/>
          <w:r w:rsidRPr="00AD1CDF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176D1CCB" w14:textId="3161EE6E" w:rsidR="00FF08A6" w:rsidRPr="00AD1CDF" w:rsidRDefault="00AD1CDF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8</w:t>
          </w:r>
          <w:r w:rsidR="00885384" w:rsidRPr="00AD1CDF">
            <w:rPr>
              <w:sz w:val="22"/>
              <w:szCs w:val="22"/>
            </w:rPr>
            <w:t>/</w:t>
          </w:r>
          <w:r w:rsidR="007F50F7" w:rsidRPr="00AD1CDF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2</w:t>
          </w:r>
          <w:r w:rsidR="00885384" w:rsidRPr="00AD1CDF">
            <w:rPr>
              <w:sz w:val="22"/>
              <w:szCs w:val="22"/>
            </w:rPr>
            <w:t>/</w:t>
          </w:r>
          <w:r w:rsidR="007F50F7" w:rsidRPr="00AD1CDF">
            <w:rPr>
              <w:sz w:val="22"/>
              <w:szCs w:val="22"/>
            </w:rPr>
            <w:t>2022</w:t>
          </w:r>
        </w:p>
      </w:tc>
    </w:tr>
    <w:tr w:rsidR="00AD1CDF" w:rsidRPr="00AD1CDF" w14:paraId="0098A384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5E1A4B1" w14:textId="77777777" w:rsidR="00FF08A6" w:rsidRPr="00AD1CD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77E980" w14:textId="77777777" w:rsidR="00FF08A6" w:rsidRPr="00AD1CD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F45AD1E" w14:textId="77777777" w:rsidR="00FF08A6" w:rsidRPr="00AD1CDF" w:rsidRDefault="00FF08A6" w:rsidP="00FF08A6">
          <w:pPr>
            <w:rPr>
              <w:sz w:val="22"/>
              <w:szCs w:val="22"/>
            </w:rPr>
          </w:pPr>
          <w:proofErr w:type="spellStart"/>
          <w:r w:rsidRPr="00AD1CDF">
            <w:rPr>
              <w:sz w:val="22"/>
              <w:szCs w:val="22"/>
            </w:rPr>
            <w:t>Revizyon</w:t>
          </w:r>
          <w:proofErr w:type="spellEnd"/>
          <w:r w:rsidRPr="00AD1CDF">
            <w:rPr>
              <w:sz w:val="22"/>
              <w:szCs w:val="22"/>
            </w:rPr>
            <w:t xml:space="preserve"> </w:t>
          </w:r>
          <w:proofErr w:type="spellStart"/>
          <w:r w:rsidRPr="00AD1CDF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7F0F14A9" w14:textId="77777777" w:rsidR="00FF08A6" w:rsidRPr="00AD1CDF" w:rsidRDefault="00FF08A6" w:rsidP="00FF08A6">
          <w:pPr>
            <w:rPr>
              <w:sz w:val="22"/>
              <w:szCs w:val="22"/>
            </w:rPr>
          </w:pPr>
          <w:r w:rsidRPr="00AD1CDF">
            <w:rPr>
              <w:sz w:val="22"/>
              <w:szCs w:val="22"/>
            </w:rPr>
            <w:t>-</w:t>
          </w:r>
        </w:p>
      </w:tc>
    </w:tr>
    <w:tr w:rsidR="00AD1CDF" w:rsidRPr="00AD1CDF" w14:paraId="381399AD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AC5A5D6" w14:textId="77777777" w:rsidR="00FF08A6" w:rsidRPr="00AD1CD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B780D5D" w14:textId="77777777" w:rsidR="00FF08A6" w:rsidRPr="00AD1CD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7A56927" w14:textId="77777777" w:rsidR="00FF08A6" w:rsidRPr="00AD1CDF" w:rsidRDefault="00FF08A6" w:rsidP="00FF08A6">
          <w:pPr>
            <w:rPr>
              <w:sz w:val="22"/>
              <w:szCs w:val="22"/>
            </w:rPr>
          </w:pPr>
          <w:proofErr w:type="spellStart"/>
          <w:r w:rsidRPr="00AD1CDF">
            <w:rPr>
              <w:sz w:val="22"/>
              <w:szCs w:val="22"/>
            </w:rPr>
            <w:t>Revizyon</w:t>
          </w:r>
          <w:proofErr w:type="spellEnd"/>
          <w:r w:rsidRPr="00AD1CDF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3FBFB1C5" w14:textId="77777777" w:rsidR="00FF08A6" w:rsidRPr="00AD1CDF" w:rsidRDefault="007F50F7" w:rsidP="00FF08A6">
          <w:pPr>
            <w:rPr>
              <w:sz w:val="22"/>
              <w:szCs w:val="22"/>
            </w:rPr>
          </w:pPr>
          <w:r w:rsidRPr="00AD1CDF">
            <w:rPr>
              <w:sz w:val="22"/>
              <w:szCs w:val="22"/>
            </w:rPr>
            <w:t>0</w:t>
          </w:r>
        </w:p>
      </w:tc>
    </w:tr>
    <w:tr w:rsidR="003528CF" w:rsidRPr="00AD1CDF" w14:paraId="1D019AAE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2FB43C8" w14:textId="77777777" w:rsidR="00FF08A6" w:rsidRPr="00AD1CD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5C6449DD" w14:textId="77777777" w:rsidR="00FF08A6" w:rsidRPr="00AD1CD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E7286F1" w14:textId="77777777" w:rsidR="00FF08A6" w:rsidRPr="00AD1CDF" w:rsidRDefault="00FF08A6" w:rsidP="00FF08A6">
          <w:pPr>
            <w:rPr>
              <w:sz w:val="22"/>
              <w:szCs w:val="22"/>
            </w:rPr>
          </w:pPr>
          <w:proofErr w:type="spellStart"/>
          <w:r w:rsidRPr="00AD1CDF">
            <w:rPr>
              <w:sz w:val="22"/>
              <w:szCs w:val="22"/>
            </w:rPr>
            <w:t>Sayfa</w:t>
          </w:r>
          <w:proofErr w:type="spellEnd"/>
          <w:r w:rsidRPr="00AD1CDF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5AAF955B" w14:textId="77777777" w:rsidR="00FF08A6" w:rsidRPr="00AD1CDF" w:rsidRDefault="00FF08A6" w:rsidP="00FF08A6">
          <w:pPr>
            <w:rPr>
              <w:sz w:val="22"/>
              <w:szCs w:val="22"/>
            </w:rPr>
          </w:pPr>
          <w:r w:rsidRPr="00AD1CDF">
            <w:rPr>
              <w:sz w:val="22"/>
              <w:szCs w:val="22"/>
            </w:rPr>
            <w:t>1/1</w:t>
          </w:r>
        </w:p>
      </w:tc>
    </w:tr>
  </w:tbl>
  <w:p w14:paraId="6197B7C9" w14:textId="77777777" w:rsidR="00FF08A6" w:rsidRPr="00AD1CDF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FA0"/>
    <w:multiLevelType w:val="hybridMultilevel"/>
    <w:tmpl w:val="F048A0D4"/>
    <w:lvl w:ilvl="0" w:tplc="5B18388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7CC0276">
      <w:numFmt w:val="bullet"/>
      <w:lvlText w:val="•"/>
      <w:lvlJc w:val="left"/>
      <w:pPr>
        <w:ind w:left="1718" w:hanging="360"/>
      </w:pPr>
      <w:rPr>
        <w:rFonts w:hint="default"/>
        <w:lang w:val="tr-TR" w:eastAsia="en-US" w:bidi="ar-SA"/>
      </w:rPr>
    </w:lvl>
    <w:lvl w:ilvl="2" w:tplc="CFE8B32C">
      <w:numFmt w:val="bullet"/>
      <w:lvlText w:val="•"/>
      <w:lvlJc w:val="left"/>
      <w:pPr>
        <w:ind w:left="2597" w:hanging="360"/>
      </w:pPr>
      <w:rPr>
        <w:rFonts w:hint="default"/>
        <w:lang w:val="tr-TR" w:eastAsia="en-US" w:bidi="ar-SA"/>
      </w:rPr>
    </w:lvl>
    <w:lvl w:ilvl="3" w:tplc="45BEEC80">
      <w:numFmt w:val="bullet"/>
      <w:lvlText w:val="•"/>
      <w:lvlJc w:val="left"/>
      <w:pPr>
        <w:ind w:left="3475" w:hanging="360"/>
      </w:pPr>
      <w:rPr>
        <w:rFonts w:hint="default"/>
        <w:lang w:val="tr-TR" w:eastAsia="en-US" w:bidi="ar-SA"/>
      </w:rPr>
    </w:lvl>
    <w:lvl w:ilvl="4" w:tplc="B15EE258">
      <w:numFmt w:val="bullet"/>
      <w:lvlText w:val="•"/>
      <w:lvlJc w:val="left"/>
      <w:pPr>
        <w:ind w:left="4354" w:hanging="360"/>
      </w:pPr>
      <w:rPr>
        <w:rFonts w:hint="default"/>
        <w:lang w:val="tr-TR" w:eastAsia="en-US" w:bidi="ar-SA"/>
      </w:rPr>
    </w:lvl>
    <w:lvl w:ilvl="5" w:tplc="D850086A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4F2243EE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8EE67F6A">
      <w:numFmt w:val="bullet"/>
      <w:lvlText w:val="•"/>
      <w:lvlJc w:val="left"/>
      <w:pPr>
        <w:ind w:left="6990" w:hanging="360"/>
      </w:pPr>
      <w:rPr>
        <w:rFonts w:hint="default"/>
        <w:lang w:val="tr-TR" w:eastAsia="en-US" w:bidi="ar-SA"/>
      </w:rPr>
    </w:lvl>
    <w:lvl w:ilvl="8" w:tplc="914A40BC">
      <w:numFmt w:val="bullet"/>
      <w:lvlText w:val="•"/>
      <w:lvlJc w:val="left"/>
      <w:pPr>
        <w:ind w:left="786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70F264C"/>
    <w:multiLevelType w:val="multilevel"/>
    <w:tmpl w:val="B14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0DCB"/>
    <w:multiLevelType w:val="hybridMultilevel"/>
    <w:tmpl w:val="A4E22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63071"/>
    <w:rsid w:val="000752A4"/>
    <w:rsid w:val="000B4C66"/>
    <w:rsid w:val="001008FB"/>
    <w:rsid w:val="00151ABA"/>
    <w:rsid w:val="00152DAF"/>
    <w:rsid w:val="00175412"/>
    <w:rsid w:val="00175722"/>
    <w:rsid w:val="001D50BB"/>
    <w:rsid w:val="002754A0"/>
    <w:rsid w:val="002E5890"/>
    <w:rsid w:val="00336BDC"/>
    <w:rsid w:val="003528CF"/>
    <w:rsid w:val="00355283"/>
    <w:rsid w:val="00367FFC"/>
    <w:rsid w:val="003D0F6C"/>
    <w:rsid w:val="003D2D38"/>
    <w:rsid w:val="00411010"/>
    <w:rsid w:val="0048082B"/>
    <w:rsid w:val="0048249D"/>
    <w:rsid w:val="005433B4"/>
    <w:rsid w:val="00547F21"/>
    <w:rsid w:val="00554A93"/>
    <w:rsid w:val="00565210"/>
    <w:rsid w:val="005761A9"/>
    <w:rsid w:val="005F50D6"/>
    <w:rsid w:val="00607331"/>
    <w:rsid w:val="006167D9"/>
    <w:rsid w:val="0068274F"/>
    <w:rsid w:val="006D67AC"/>
    <w:rsid w:val="007D48AB"/>
    <w:rsid w:val="007D5976"/>
    <w:rsid w:val="007F50F7"/>
    <w:rsid w:val="00885384"/>
    <w:rsid w:val="008E3FF8"/>
    <w:rsid w:val="00961464"/>
    <w:rsid w:val="00A27661"/>
    <w:rsid w:val="00A33119"/>
    <w:rsid w:val="00A331EF"/>
    <w:rsid w:val="00A4726D"/>
    <w:rsid w:val="00AC62D1"/>
    <w:rsid w:val="00AD1CDF"/>
    <w:rsid w:val="00AE7B0D"/>
    <w:rsid w:val="00B46380"/>
    <w:rsid w:val="00B63D44"/>
    <w:rsid w:val="00BD2C6B"/>
    <w:rsid w:val="00C7119C"/>
    <w:rsid w:val="00CB514D"/>
    <w:rsid w:val="00D16C4B"/>
    <w:rsid w:val="00D17E25"/>
    <w:rsid w:val="00E03FCB"/>
    <w:rsid w:val="00E25097"/>
    <w:rsid w:val="00E40382"/>
    <w:rsid w:val="00EE0C78"/>
    <w:rsid w:val="00F40666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EA357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52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35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8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01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0C13-BDBE-4116-B7D0-731BC3C0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2022-03-22T11:45:00Z</dcterms:created>
  <dcterms:modified xsi:type="dcterms:W3CDTF">2022-03-22T11:45:00Z</dcterms:modified>
</cp:coreProperties>
</file>